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A7084" w14:textId="77777777" w:rsidR="000746EF" w:rsidRDefault="000746EF" w:rsidP="002924DC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70E1F7E" w14:textId="77777777" w:rsidR="000746EF" w:rsidRDefault="000746EF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FE14138" w14:textId="3CCCC77F" w:rsidR="00AA7AF0" w:rsidRDefault="00815B41" w:rsidP="002924DC">
      <w:pPr>
        <w:spacing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Virginia Civil Rights Struggle</w:t>
      </w:r>
    </w:p>
    <w:p w14:paraId="3136C841" w14:textId="1DAD2AA0" w:rsidR="000746EF" w:rsidRDefault="000746EF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748FAC5" w14:textId="65C90558" w:rsidR="000746EF" w:rsidRDefault="000746EF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DF007F" w14:textId="6522E7D1" w:rsidR="000746EF" w:rsidRDefault="000746EF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7243B7C" w14:textId="140AAF82" w:rsidR="000746EF" w:rsidRDefault="000746EF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8FBCF30" w14:textId="6F4850C8" w:rsidR="000746EF" w:rsidRDefault="000746EF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44FFBAC" w14:textId="4B76C86E" w:rsidR="000746EF" w:rsidRDefault="000746EF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6F400B9" w14:textId="79CC8E19" w:rsidR="000746EF" w:rsidRDefault="000746EF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7744D91" w14:textId="03D09084" w:rsidR="000746EF" w:rsidRDefault="000746EF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18AA924" w14:textId="77777777" w:rsidR="000746EF" w:rsidRPr="005C7C5A" w:rsidRDefault="00815B41" w:rsidP="002924DC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C7C5A">
        <w:rPr>
          <w:rFonts w:ascii="Times New Roman" w:eastAsia="Times New Roman" w:hAnsi="Times New Roman"/>
          <w:sz w:val="24"/>
          <w:szCs w:val="24"/>
        </w:rPr>
        <w:t xml:space="preserve">Student’s </w:t>
      </w:r>
      <w:r w:rsidRPr="005C7C5A">
        <w:rPr>
          <w:rFonts w:ascii="Times New Roman" w:hAnsi="Times New Roman"/>
          <w:sz w:val="24"/>
          <w:szCs w:val="24"/>
        </w:rPr>
        <w:t>Name</w:t>
      </w:r>
    </w:p>
    <w:p w14:paraId="2F87A75D" w14:textId="77777777" w:rsidR="000746EF" w:rsidRPr="005C7C5A" w:rsidRDefault="00815B41" w:rsidP="002924DC">
      <w:pPr>
        <w:spacing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5C7C5A">
        <w:rPr>
          <w:rFonts w:ascii="Times New Roman" w:eastAsia="Times New Roman" w:hAnsi="Times New Roman"/>
          <w:sz w:val="24"/>
          <w:szCs w:val="24"/>
        </w:rPr>
        <w:t>Class Information</w:t>
      </w:r>
    </w:p>
    <w:p w14:paraId="022C7A19" w14:textId="77777777" w:rsidR="000746EF" w:rsidRPr="005C7C5A" w:rsidRDefault="00815B41" w:rsidP="002924DC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C7C5A">
        <w:rPr>
          <w:rFonts w:ascii="Times New Roman" w:hAnsi="Times New Roman"/>
          <w:sz w:val="24"/>
          <w:szCs w:val="24"/>
        </w:rPr>
        <w:t>Date</w:t>
      </w:r>
    </w:p>
    <w:p w14:paraId="7344CD73" w14:textId="13DADBC6" w:rsidR="000746EF" w:rsidRDefault="00815B41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14:paraId="4E2DFAD8" w14:textId="77777777" w:rsidR="000746EF" w:rsidRDefault="000746EF" w:rsidP="002924DC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5A0E5BF" w14:textId="599B24D7" w:rsidR="003674A9" w:rsidRPr="00AA7AF0" w:rsidRDefault="00815B41" w:rsidP="002924D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Suh, Yonghee, and Brian J. Daugherity. "Oral History as Inquiry." </w:t>
      </w:r>
      <w:r w:rsidRPr="00AA7A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History Teacher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51, no. 4 (2018): 697-709.</w:t>
      </w:r>
    </w:p>
    <w:p w14:paraId="3FB4506F" w14:textId="069E2DE5" w:rsidR="0046368F" w:rsidRPr="00AA7AF0" w:rsidRDefault="00815B41" w:rsidP="002924DC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Yonghee and Daugherity </w:t>
      </w:r>
      <w:r w:rsidR="00B84A92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</w:t>
      </w:r>
      <w:r w:rsidR="00B84A92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focused 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B84A92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understanding the </w:t>
      </w:r>
      <w:r w:rsidR="00B9250F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previous events </w:t>
      </w:r>
      <w:r w:rsidR="005E73BE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5E73BE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civil rights movement in Virginia. </w:t>
      </w:r>
      <w:r w:rsidR="00383CAB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Similarly, </w:t>
      </w:r>
      <w:r w:rsidR="00D9615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events </w:t>
      </w:r>
      <w:r w:rsidR="00370941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essential in developing </w:t>
      </w:r>
      <w:r w:rsidR="00970D5D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appropriate </w:t>
      </w:r>
      <w:r w:rsidR="003A1AC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knowledge 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r w:rsidR="003A1AC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="00E83B06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students, </w:t>
      </w:r>
      <w:r w:rsidR="00FA7836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although the </w:t>
      </w:r>
      <w:r w:rsidR="00CF26DF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civil rights </w:t>
      </w:r>
      <w:r w:rsidR="00046CA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movement </w:t>
      </w:r>
      <w:r w:rsidR="00965A37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did not </w:t>
      </w:r>
      <w:r w:rsidR="005F2C5C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attain all its objectives</w:t>
      </w:r>
      <w:r w:rsidR="00AF421E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Nevertheless, the </w:t>
      </w:r>
      <w:r w:rsidR="003E43A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social </w:t>
      </w:r>
      <w:r w:rsidR="00CE6CA7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scheme </w:t>
      </w:r>
      <w:r w:rsidR="00BD1139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="00D476FB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lawfully</w:t>
      </w:r>
      <w:r w:rsidR="005473DA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authorized</w:t>
      </w:r>
      <w:r w:rsidR="002A5563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473DA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exclusion </w:t>
      </w:r>
      <w:r w:rsidR="00E32371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</w:t>
      </w:r>
      <w:r w:rsidR="00E477BD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second</w:t>
      </w:r>
      <w:r w:rsidR="000B1826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-class </w:t>
      </w:r>
      <w:r w:rsidR="00921A33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citizenship</w:t>
      </w:r>
      <w:r w:rsidR="00F2007E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was upended.</w:t>
      </w:r>
      <w:r w:rsidR="004E0EA7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E610D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5B3908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civil rights </w:t>
      </w:r>
      <w:r w:rsidR="00675ADC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</w:t>
      </w:r>
      <w:r w:rsidR="009C00C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was </w:t>
      </w:r>
      <w:r w:rsidR="00F82A71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radical</w:t>
      </w:r>
      <w:r w:rsidR="009C00C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70818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410BF2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altering </w:t>
      </w:r>
      <w:r w:rsidR="0084211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Virginia </w:t>
      </w:r>
      <w:r w:rsidR="00D3061C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the 20</w:t>
      </w:r>
      <w:r w:rsidR="00D3061C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D3061C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3393C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century </w:t>
      </w:r>
      <w:r w:rsidR="00727631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the </w:t>
      </w:r>
      <w:r w:rsidR="005132C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civil war in the 19</w:t>
      </w:r>
      <w:r w:rsidR="005132C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5132C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century.</w:t>
      </w:r>
    </w:p>
    <w:p w14:paraId="2C989AA7" w14:textId="5DBE528E" w:rsidR="005132C5" w:rsidRPr="00AA7AF0" w:rsidRDefault="00815B41" w:rsidP="002924DC">
      <w:pPr>
        <w:spacing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AA7A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Integrated</w:t>
      </w:r>
      <w:r w:rsidR="0020574A" w:rsidRPr="00AA7A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AA7A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quotation</w:t>
      </w:r>
      <w:r w:rsidR="0020574A" w:rsidRPr="00AA7A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:</w:t>
      </w:r>
    </w:p>
    <w:p w14:paraId="1E457858" w14:textId="00E3CBCC" w:rsidR="004D68DA" w:rsidRPr="00AA7AF0" w:rsidRDefault="00AA6DE4" w:rsidP="002924DC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815B41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185B79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terms of </w:t>
      </w:r>
      <w:r w:rsidR="00040C69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civil rights </w:t>
      </w:r>
      <w:r w:rsidR="00B87C2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movement, this </w:t>
      </w:r>
      <w:r w:rsidR="00025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entails</w:t>
      </w:r>
      <w:r w:rsidR="00B87C2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stories </w:t>
      </w:r>
      <w:r w:rsidR="00025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about </w:t>
      </w:r>
      <w:r w:rsidR="00B87C2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school desegregation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25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together with 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those </w:t>
      </w:r>
      <w:r w:rsidR="00025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concerning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public businesses </w:t>
      </w:r>
      <w:r w:rsidR="00025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together with 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facilities, </w:t>
      </w:r>
      <w:r w:rsidR="00025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housing, voting rights at the same time</w:t>
      </w:r>
      <w:r w:rsidR="00B87C2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other </w:t>
      </w:r>
      <w:r w:rsidR="000253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concerns </w:t>
      </w:r>
      <w:r w:rsidR="00B87C2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this era.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bookmarkStart w:id="0" w:name="_GoBack"/>
      <w:bookmarkEnd w:id="0"/>
      <w:r w:rsidR="00815B41">
        <w:rPr>
          <w:rStyle w:val="FootnoteReferen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1"/>
      </w:r>
    </w:p>
    <w:p w14:paraId="27E276B7" w14:textId="77777777" w:rsidR="005132C5" w:rsidRPr="00AA7AF0" w:rsidRDefault="00815B41" w:rsidP="002924DC">
      <w:pPr>
        <w:spacing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AA7A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Paraphrase:</w:t>
      </w:r>
    </w:p>
    <w:p w14:paraId="13729DF4" w14:textId="66FCAA65" w:rsidR="00B87C24" w:rsidRPr="00AA7AF0" w:rsidRDefault="00815B41" w:rsidP="002924DC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 w:rsidR="008551B0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</w:t>
      </w:r>
      <w:r w:rsidR="00F26052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 of previous </w:t>
      </w:r>
      <w:r w:rsidR="00BB3139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oral history on the </w:t>
      </w:r>
      <w:r w:rsidR="005B691C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civil rights movement 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 w:rsidR="005B691C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essential in </w:t>
      </w:r>
      <w:r w:rsidR="001A1DB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educating </w:t>
      </w:r>
      <w:r w:rsidR="000D3BB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students concerning the past </w:t>
      </w:r>
      <w:r w:rsidR="00B974AD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liberation events. </w:t>
      </w:r>
      <w:r w:rsidR="0016117A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D71B08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civil rights movement </w:t>
      </w:r>
      <w:r w:rsidR="0006177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banned</w:t>
      </w:r>
      <w:r w:rsidR="009E127A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6177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discrimination </w:t>
      </w:r>
      <w:r w:rsidR="005B488B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comprising </w:t>
      </w:r>
      <w:r w:rsidR="00044232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bus station </w:t>
      </w:r>
      <w:r w:rsidR="007E1AC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waiting rooms </w:t>
      </w:r>
      <w:r w:rsidR="00890DAE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restrooms </w:t>
      </w:r>
      <w:r w:rsidR="00A31617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utilized </w:t>
      </w:r>
      <w:r w:rsidR="00E0537F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interstate </w:t>
      </w:r>
      <w:r w:rsidR="007A10A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bus </w:t>
      </w:r>
      <w:r w:rsidR="007A10A4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lines</w:t>
      </w:r>
      <w:r w:rsidR="00601107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For instance, 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five</w:t>
      </w:r>
      <w:r w:rsidR="002F5C01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4332E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institutions </w:t>
      </w:r>
      <w:r w:rsidR="00343CBB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integrated</w:t>
      </w:r>
      <w:r w:rsidR="004B24CB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53B5D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proceedings</w:t>
      </w:r>
      <w:r w:rsidR="00AE4565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75A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comprising of </w:t>
      </w:r>
      <w:r w:rsidR="00F32836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court</w:t>
      </w:r>
      <w:r w:rsidR="009B7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="00F32836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675A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decision on</w:t>
      </w:r>
      <w:r w:rsidR="00F32836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B78B3"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Brown v. Board.</w:t>
      </w:r>
    </w:p>
    <w:p w14:paraId="44EC2BB9" w14:textId="36FE521D" w:rsidR="000B0E07" w:rsidRPr="00AA7AF0" w:rsidRDefault="00815B41" w:rsidP="002924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Levy, Peter B. </w:t>
      </w:r>
      <w:r w:rsidRPr="00AA7A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Civil Rights Movement: A Reference Guide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ABC-CLIO, 2019.</w:t>
      </w:r>
    </w:p>
    <w:p w14:paraId="555207C5" w14:textId="0B47BD9B" w:rsidR="00523684" w:rsidRPr="00AA7AF0" w:rsidRDefault="00815B41" w:rsidP="002924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7AF0">
        <w:rPr>
          <w:rFonts w:ascii="Times New Roman" w:hAnsi="Times New Roman" w:cs="Times New Roman"/>
          <w:sz w:val="24"/>
          <w:szCs w:val="24"/>
        </w:rPr>
        <w:t xml:space="preserve">Levy uses a chronological of events to </w:t>
      </w:r>
      <w:r w:rsidR="002962B2" w:rsidRPr="00AA7AF0">
        <w:rPr>
          <w:rFonts w:ascii="Times New Roman" w:hAnsi="Times New Roman" w:cs="Times New Roman"/>
          <w:sz w:val="24"/>
          <w:szCs w:val="24"/>
        </w:rPr>
        <w:t xml:space="preserve">explain how the civil rights movement happened in Virginia and America. </w:t>
      </w:r>
      <w:r w:rsidR="00A9165A" w:rsidRPr="00AA7AF0">
        <w:rPr>
          <w:rFonts w:ascii="Times New Roman" w:hAnsi="Times New Roman" w:cs="Times New Roman"/>
          <w:sz w:val="24"/>
          <w:szCs w:val="24"/>
        </w:rPr>
        <w:t>Therefore, the events</w:t>
      </w:r>
      <w:r w:rsidR="0051055C" w:rsidRPr="00AA7AF0">
        <w:rPr>
          <w:rFonts w:ascii="Times New Roman" w:hAnsi="Times New Roman" w:cs="Times New Roman"/>
          <w:sz w:val="24"/>
          <w:szCs w:val="24"/>
        </w:rPr>
        <w:t xml:space="preserve"> began in </w:t>
      </w:r>
      <w:r w:rsidR="001C6B28" w:rsidRPr="00AA7AF0">
        <w:rPr>
          <w:rFonts w:ascii="Times New Roman" w:hAnsi="Times New Roman" w:cs="Times New Roman"/>
          <w:sz w:val="24"/>
          <w:szCs w:val="24"/>
        </w:rPr>
        <w:t xml:space="preserve">1857 when </w:t>
      </w:r>
      <w:r w:rsidR="00AB690F" w:rsidRPr="00AA7AF0">
        <w:rPr>
          <w:rFonts w:ascii="Times New Roman" w:hAnsi="Times New Roman" w:cs="Times New Roman"/>
          <w:sz w:val="24"/>
          <w:szCs w:val="24"/>
        </w:rPr>
        <w:t xml:space="preserve">Dred Scott v. Sandford decision was provided. </w:t>
      </w:r>
      <w:r w:rsidR="00150588" w:rsidRPr="00AA7AF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E4EA3" w:rsidRPr="00AA7AF0">
        <w:rPr>
          <w:rFonts w:ascii="Times New Roman" w:hAnsi="Times New Roman" w:cs="Times New Roman"/>
          <w:sz w:val="24"/>
          <w:szCs w:val="24"/>
        </w:rPr>
        <w:t xml:space="preserve">the foundation of civil rights began </w:t>
      </w:r>
      <w:r w:rsidR="006463D6" w:rsidRPr="00AA7AF0">
        <w:rPr>
          <w:rFonts w:ascii="Times New Roman" w:hAnsi="Times New Roman" w:cs="Times New Roman"/>
          <w:sz w:val="24"/>
          <w:szCs w:val="24"/>
        </w:rPr>
        <w:t xml:space="preserve">and continued to </w:t>
      </w:r>
      <w:r w:rsidR="00BE3EAA" w:rsidRPr="00AA7AF0">
        <w:rPr>
          <w:rFonts w:ascii="Times New Roman" w:hAnsi="Times New Roman" w:cs="Times New Roman"/>
          <w:sz w:val="24"/>
          <w:szCs w:val="24"/>
        </w:rPr>
        <w:t xml:space="preserve">expand </w:t>
      </w:r>
      <w:r w:rsidR="009713B0" w:rsidRPr="00AA7AF0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CB68B9" w:rsidRPr="00AA7AF0">
        <w:rPr>
          <w:rFonts w:ascii="Times New Roman" w:hAnsi="Times New Roman" w:cs="Times New Roman"/>
          <w:sz w:val="24"/>
          <w:szCs w:val="24"/>
        </w:rPr>
        <w:t xml:space="preserve">emancipation proclamation was </w:t>
      </w:r>
      <w:r w:rsidR="00062370" w:rsidRPr="00AA7AF0">
        <w:rPr>
          <w:rFonts w:ascii="Times New Roman" w:hAnsi="Times New Roman" w:cs="Times New Roman"/>
          <w:sz w:val="24"/>
          <w:szCs w:val="24"/>
        </w:rPr>
        <w:t xml:space="preserve">implemented and </w:t>
      </w:r>
      <w:r w:rsidR="00A32338" w:rsidRPr="00AA7AF0">
        <w:rPr>
          <w:rFonts w:ascii="Times New Roman" w:hAnsi="Times New Roman" w:cs="Times New Roman"/>
          <w:sz w:val="24"/>
          <w:szCs w:val="24"/>
        </w:rPr>
        <w:t xml:space="preserve">the passage of the </w:t>
      </w:r>
      <w:r w:rsidR="00E10DA7" w:rsidRPr="00AA7AF0">
        <w:rPr>
          <w:rFonts w:ascii="Times New Roman" w:hAnsi="Times New Roman" w:cs="Times New Roman"/>
          <w:sz w:val="24"/>
          <w:szCs w:val="24"/>
        </w:rPr>
        <w:t xml:space="preserve">civil rights act by congress. </w:t>
      </w:r>
      <w:r w:rsidR="009E3D8B" w:rsidRPr="00AA7AF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DD705C" w:rsidRPr="00AA7AF0">
        <w:rPr>
          <w:rFonts w:ascii="Times New Roman" w:hAnsi="Times New Roman" w:cs="Times New Roman"/>
          <w:sz w:val="24"/>
          <w:szCs w:val="24"/>
        </w:rPr>
        <w:t xml:space="preserve">immense segregation continued to happen to African Americans </w:t>
      </w:r>
      <w:r w:rsidR="00B56491" w:rsidRPr="00AA7AF0">
        <w:rPr>
          <w:rFonts w:ascii="Times New Roman" w:hAnsi="Times New Roman" w:cs="Times New Roman"/>
          <w:sz w:val="24"/>
          <w:szCs w:val="24"/>
        </w:rPr>
        <w:t xml:space="preserve">because they were </w:t>
      </w:r>
      <w:r w:rsidR="001575BF" w:rsidRPr="00AA7AF0">
        <w:rPr>
          <w:rFonts w:ascii="Times New Roman" w:hAnsi="Times New Roman" w:cs="Times New Roman"/>
          <w:sz w:val="24"/>
          <w:szCs w:val="24"/>
        </w:rPr>
        <w:t xml:space="preserve">used as slavery </w:t>
      </w:r>
      <w:r w:rsidR="00735DD0" w:rsidRPr="00AA7AF0">
        <w:rPr>
          <w:rFonts w:ascii="Times New Roman" w:hAnsi="Times New Roman" w:cs="Times New Roman"/>
          <w:sz w:val="24"/>
          <w:szCs w:val="24"/>
        </w:rPr>
        <w:t xml:space="preserve">before. </w:t>
      </w:r>
      <w:r w:rsidR="0087094A" w:rsidRPr="00AA7AF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304FFB" w:rsidRPr="00AA7AF0">
        <w:rPr>
          <w:rFonts w:ascii="Times New Roman" w:hAnsi="Times New Roman" w:cs="Times New Roman"/>
          <w:sz w:val="24"/>
          <w:szCs w:val="24"/>
        </w:rPr>
        <w:t xml:space="preserve">although </w:t>
      </w:r>
      <w:r w:rsidR="009B7833">
        <w:rPr>
          <w:rFonts w:ascii="Times New Roman" w:hAnsi="Times New Roman" w:cs="Times New Roman"/>
          <w:sz w:val="24"/>
          <w:szCs w:val="24"/>
        </w:rPr>
        <w:t>racial segregation is still prevalent</w:t>
      </w:r>
      <w:r w:rsidR="00304FFB" w:rsidRPr="00AA7AF0">
        <w:rPr>
          <w:rFonts w:ascii="Times New Roman" w:hAnsi="Times New Roman" w:cs="Times New Roman"/>
          <w:sz w:val="24"/>
          <w:szCs w:val="24"/>
        </w:rPr>
        <w:t xml:space="preserve">, </w:t>
      </w:r>
      <w:r w:rsidR="00824318" w:rsidRPr="00AA7AF0">
        <w:rPr>
          <w:rFonts w:ascii="Times New Roman" w:hAnsi="Times New Roman" w:cs="Times New Roman"/>
          <w:sz w:val="24"/>
          <w:szCs w:val="24"/>
        </w:rPr>
        <w:t xml:space="preserve">people have more rights </w:t>
      </w:r>
      <w:r w:rsidR="006E00B6" w:rsidRPr="00AA7AF0">
        <w:rPr>
          <w:rFonts w:ascii="Times New Roman" w:hAnsi="Times New Roman" w:cs="Times New Roman"/>
          <w:sz w:val="24"/>
          <w:szCs w:val="24"/>
        </w:rPr>
        <w:t xml:space="preserve">due to </w:t>
      </w:r>
      <w:r w:rsidR="009B7833">
        <w:rPr>
          <w:rFonts w:ascii="Times New Roman" w:hAnsi="Times New Roman" w:cs="Times New Roman"/>
          <w:sz w:val="24"/>
          <w:szCs w:val="24"/>
        </w:rPr>
        <w:t xml:space="preserve">the </w:t>
      </w:r>
      <w:r w:rsidR="006E00B6" w:rsidRPr="00AA7AF0">
        <w:rPr>
          <w:rFonts w:ascii="Times New Roman" w:hAnsi="Times New Roman" w:cs="Times New Roman"/>
          <w:sz w:val="24"/>
          <w:szCs w:val="24"/>
        </w:rPr>
        <w:t xml:space="preserve">civil rights </w:t>
      </w:r>
      <w:r w:rsidR="008C0CDC" w:rsidRPr="00AA7AF0">
        <w:rPr>
          <w:rFonts w:ascii="Times New Roman" w:hAnsi="Times New Roman" w:cs="Times New Roman"/>
          <w:sz w:val="24"/>
          <w:szCs w:val="24"/>
        </w:rPr>
        <w:t>movement.</w:t>
      </w:r>
    </w:p>
    <w:p w14:paraId="569A55A4" w14:textId="31AA4FF6" w:rsidR="005132C5" w:rsidRPr="00AA7AF0" w:rsidRDefault="00815B41" w:rsidP="002924D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7AF0">
        <w:rPr>
          <w:rFonts w:ascii="Times New Roman" w:hAnsi="Times New Roman" w:cs="Times New Roman"/>
          <w:b/>
          <w:bCs/>
          <w:sz w:val="24"/>
          <w:szCs w:val="24"/>
        </w:rPr>
        <w:t>integrated quot</w:t>
      </w:r>
      <w:r w:rsidRPr="00AA7AF0">
        <w:rPr>
          <w:rFonts w:ascii="Times New Roman" w:hAnsi="Times New Roman" w:cs="Times New Roman"/>
          <w:b/>
          <w:bCs/>
          <w:sz w:val="24"/>
          <w:szCs w:val="24"/>
        </w:rPr>
        <w:t xml:space="preserve">ation: </w:t>
      </w:r>
    </w:p>
    <w:p w14:paraId="02FCEF60" w14:textId="3C980B2D" w:rsidR="00523684" w:rsidRPr="00AA7AF0" w:rsidRDefault="00815B41" w:rsidP="002924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AA7AF0" w:rsidRPr="00AA7AF0">
        <w:rPr>
          <w:rFonts w:ascii="Times New Roman" w:hAnsi="Times New Roman" w:cs="Times New Roman"/>
          <w:sz w:val="24"/>
          <w:szCs w:val="24"/>
        </w:rPr>
        <w:t>While</w:t>
      </w:r>
      <w:r w:rsidRPr="00AA7AF0">
        <w:rPr>
          <w:rFonts w:ascii="Times New Roman" w:hAnsi="Times New Roman" w:cs="Times New Roman"/>
          <w:sz w:val="24"/>
          <w:szCs w:val="24"/>
        </w:rPr>
        <w:t xml:space="preserve"> Truman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AA7AF0">
        <w:rPr>
          <w:rFonts w:ascii="Times New Roman" w:hAnsi="Times New Roman" w:cs="Times New Roman"/>
          <w:sz w:val="24"/>
          <w:szCs w:val="24"/>
        </w:rPr>
        <w:t>s committee was preparing its report, the Congress of Racial Equality (CORE) staged a journey in several upper South states. Like the better-known freedom rides of the 1960s, which CORE also organized the journey of Reconciliation sou</w:t>
      </w:r>
      <w:r w:rsidRPr="00AA7AF0">
        <w:rPr>
          <w:rFonts w:ascii="Times New Roman" w:hAnsi="Times New Roman" w:cs="Times New Roman"/>
          <w:sz w:val="24"/>
          <w:szCs w:val="24"/>
        </w:rPr>
        <w:t>ght to desegregate public facilities and raise public awareness of the racial problem in America.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2F9986CB" w14:textId="77777777" w:rsidR="005132C5" w:rsidRPr="00AA7AF0" w:rsidRDefault="00815B41" w:rsidP="002924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A7AF0">
        <w:rPr>
          <w:rFonts w:ascii="Times New Roman" w:hAnsi="Times New Roman" w:cs="Times New Roman"/>
          <w:b/>
          <w:bCs/>
          <w:sz w:val="24"/>
          <w:szCs w:val="24"/>
        </w:rPr>
        <w:t>Paraphrase:</w:t>
      </w:r>
      <w:r w:rsidRPr="00AA7A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30A8F" w14:textId="58DEE1E2" w:rsidR="00523684" w:rsidRPr="00AA7AF0" w:rsidRDefault="00815B41" w:rsidP="002924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7AF0">
        <w:rPr>
          <w:rFonts w:ascii="Times New Roman" w:hAnsi="Times New Roman" w:cs="Times New Roman"/>
          <w:sz w:val="24"/>
          <w:szCs w:val="24"/>
        </w:rPr>
        <w:t>The increase</w:t>
      </w:r>
      <w:r w:rsidR="009B7833">
        <w:rPr>
          <w:rFonts w:ascii="Times New Roman" w:hAnsi="Times New Roman" w:cs="Times New Roman"/>
          <w:sz w:val="24"/>
          <w:szCs w:val="24"/>
        </w:rPr>
        <w:t>d</w:t>
      </w:r>
      <w:r w:rsidRPr="00AA7AF0">
        <w:rPr>
          <w:rFonts w:ascii="Times New Roman" w:hAnsi="Times New Roman" w:cs="Times New Roman"/>
          <w:sz w:val="24"/>
          <w:szCs w:val="24"/>
        </w:rPr>
        <w:t xml:space="preserve"> fight for civil rights has caused immense support in giving people their freedom to their land</w:t>
      </w:r>
      <w:r w:rsidR="009B7833">
        <w:rPr>
          <w:rFonts w:ascii="Times New Roman" w:hAnsi="Times New Roman" w:cs="Times New Roman"/>
          <w:sz w:val="24"/>
          <w:szCs w:val="24"/>
        </w:rPr>
        <w:t>. T</w:t>
      </w:r>
      <w:r w:rsidRPr="00AA7AF0">
        <w:rPr>
          <w:rFonts w:ascii="Times New Roman" w:hAnsi="Times New Roman" w:cs="Times New Roman"/>
          <w:sz w:val="24"/>
          <w:szCs w:val="24"/>
        </w:rPr>
        <w:t xml:space="preserve">he apprehension concerning the dangers of </w:t>
      </w:r>
      <w:r w:rsidR="009B7833" w:rsidRPr="00AA7AF0">
        <w:rPr>
          <w:rFonts w:ascii="Times New Roman" w:hAnsi="Times New Roman" w:cs="Times New Roman"/>
          <w:sz w:val="24"/>
          <w:szCs w:val="24"/>
        </w:rPr>
        <w:t>lynchings</w:t>
      </w:r>
      <w:r w:rsidRPr="00AA7AF0">
        <w:rPr>
          <w:rFonts w:ascii="Times New Roman" w:hAnsi="Times New Roman" w:cs="Times New Roman"/>
          <w:sz w:val="24"/>
          <w:szCs w:val="24"/>
        </w:rPr>
        <w:t xml:space="preserve"> in the South was </w:t>
      </w:r>
      <w:r w:rsidRPr="00AA7AF0">
        <w:rPr>
          <w:rFonts w:ascii="Times New Roman" w:hAnsi="Times New Roman" w:cs="Times New Roman"/>
          <w:sz w:val="24"/>
          <w:szCs w:val="24"/>
        </w:rPr>
        <w:lastRenderedPageBreak/>
        <w:t xml:space="preserve">working on </w:t>
      </w:r>
      <w:r w:rsidR="009B7833">
        <w:rPr>
          <w:rFonts w:ascii="Times New Roman" w:hAnsi="Times New Roman" w:cs="Times New Roman"/>
          <w:sz w:val="24"/>
          <w:szCs w:val="24"/>
        </w:rPr>
        <w:t>the S</w:t>
      </w:r>
      <w:r w:rsidR="00DE7234" w:rsidRPr="00AA7AF0">
        <w:rPr>
          <w:rFonts w:ascii="Times New Roman" w:hAnsi="Times New Roman" w:cs="Times New Roman"/>
          <w:sz w:val="24"/>
          <w:szCs w:val="24"/>
        </w:rPr>
        <w:t xml:space="preserve">outh created </w:t>
      </w:r>
      <w:r w:rsidR="00675ADC">
        <w:rPr>
          <w:rFonts w:ascii="Times New Roman" w:hAnsi="Times New Roman" w:cs="Times New Roman"/>
          <w:sz w:val="24"/>
          <w:szCs w:val="24"/>
        </w:rPr>
        <w:t>United States</w:t>
      </w:r>
      <w:r w:rsidR="00DE7234" w:rsidRPr="00AA7AF0">
        <w:rPr>
          <w:rFonts w:ascii="Times New Roman" w:hAnsi="Times New Roman" w:cs="Times New Roman"/>
          <w:sz w:val="24"/>
          <w:szCs w:val="24"/>
        </w:rPr>
        <w:t xml:space="preserve"> standing on the global </w:t>
      </w:r>
      <w:r w:rsidR="00675ADC" w:rsidRPr="00AA7AF0">
        <w:rPr>
          <w:rFonts w:ascii="Times New Roman" w:hAnsi="Times New Roman" w:cs="Times New Roman"/>
          <w:sz w:val="24"/>
          <w:szCs w:val="24"/>
        </w:rPr>
        <w:t>ground</w:t>
      </w:r>
      <w:r w:rsidR="00DE7234" w:rsidRPr="00AA7AF0">
        <w:rPr>
          <w:rFonts w:ascii="Times New Roman" w:hAnsi="Times New Roman" w:cs="Times New Roman"/>
          <w:sz w:val="24"/>
          <w:szCs w:val="24"/>
        </w:rPr>
        <w:t xml:space="preserve">. Similarly, the </w:t>
      </w:r>
      <w:r w:rsidR="00675ADC" w:rsidRPr="00AA7AF0">
        <w:rPr>
          <w:rFonts w:ascii="Times New Roman" w:hAnsi="Times New Roman" w:cs="Times New Roman"/>
          <w:sz w:val="24"/>
          <w:szCs w:val="24"/>
        </w:rPr>
        <w:t>commission</w:t>
      </w:r>
      <w:r w:rsidR="00DE7234" w:rsidRPr="00AA7AF0">
        <w:rPr>
          <w:rFonts w:ascii="Times New Roman" w:hAnsi="Times New Roman" w:cs="Times New Roman"/>
          <w:sz w:val="24"/>
          <w:szCs w:val="24"/>
        </w:rPr>
        <w:t xml:space="preserve"> for civil rights focused on pro-civil rights to secure those rights.</w:t>
      </w:r>
    </w:p>
    <w:sectPr w:rsidR="00523684" w:rsidRPr="00AA7AF0" w:rsidSect="000746E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5C21" w14:textId="77777777" w:rsidR="00815B41" w:rsidRDefault="00815B41">
      <w:pPr>
        <w:spacing w:after="0" w:line="240" w:lineRule="auto"/>
      </w:pPr>
      <w:r>
        <w:separator/>
      </w:r>
    </w:p>
  </w:endnote>
  <w:endnote w:type="continuationSeparator" w:id="0">
    <w:p w14:paraId="1DC74919" w14:textId="77777777" w:rsidR="00815B41" w:rsidRDefault="0081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066B1" w14:textId="77777777" w:rsidR="00815B41" w:rsidRDefault="00815B41" w:rsidP="000746EF">
      <w:pPr>
        <w:spacing w:after="0" w:line="240" w:lineRule="auto"/>
      </w:pPr>
      <w:r>
        <w:separator/>
      </w:r>
    </w:p>
  </w:footnote>
  <w:footnote w:type="continuationSeparator" w:id="0">
    <w:p w14:paraId="4C3883B7" w14:textId="77777777" w:rsidR="00815B41" w:rsidRDefault="00815B41" w:rsidP="000746EF">
      <w:pPr>
        <w:spacing w:after="0" w:line="240" w:lineRule="auto"/>
      </w:pPr>
      <w:r>
        <w:continuationSeparator/>
      </w:r>
    </w:p>
  </w:footnote>
  <w:footnote w:id="1">
    <w:p w14:paraId="506E4074" w14:textId="77777777" w:rsidR="000746EF" w:rsidRPr="00AA7AF0" w:rsidRDefault="00815B41" w:rsidP="000746E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Suh, Yonghee, and Brian J. Daugherity. "Oral History as Inquiry." </w:t>
      </w:r>
      <w:r w:rsidRPr="00AA7A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History Teacher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51, no. 4 (2018): 697-709.</w:t>
      </w:r>
    </w:p>
    <w:p w14:paraId="7B8DFD13" w14:textId="30AB7443" w:rsidR="000746EF" w:rsidRDefault="000746EF">
      <w:pPr>
        <w:pStyle w:val="FootnoteText"/>
      </w:pPr>
    </w:p>
  </w:footnote>
  <w:footnote w:id="2">
    <w:p w14:paraId="2FF19936" w14:textId="6C62101A" w:rsidR="000746EF" w:rsidRPr="000746EF" w:rsidRDefault="00815B41" w:rsidP="000746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Levy, Peter B. </w:t>
      </w:r>
      <w:r w:rsidRPr="00AA7A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Civil Rights Movement: A </w:t>
      </w:r>
      <w:r w:rsidRPr="00AA7AF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Reference Guide</w:t>
      </w:r>
      <w:r w:rsidRPr="00AA7A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ABC-CLIO,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185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E1E8C" w14:textId="74FC798B" w:rsidR="000746EF" w:rsidRDefault="00815B4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D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3705D3" w14:textId="687A027B" w:rsidR="000746EF" w:rsidRDefault="00074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MDIwNTIwMzA3MrZU0lEKTi0uzszPAykwrAUAsX7TdSwAAAA="/>
  </w:docVars>
  <w:rsids>
    <w:rsidRoot w:val="00523684"/>
    <w:rsid w:val="00013F11"/>
    <w:rsid w:val="00025303"/>
    <w:rsid w:val="00040C69"/>
    <w:rsid w:val="00044232"/>
    <w:rsid w:val="0004539B"/>
    <w:rsid w:val="00046CA5"/>
    <w:rsid w:val="00061774"/>
    <w:rsid w:val="00062370"/>
    <w:rsid w:val="000746EF"/>
    <w:rsid w:val="000B0E07"/>
    <w:rsid w:val="000B1826"/>
    <w:rsid w:val="000B78B3"/>
    <w:rsid w:val="000D3BB5"/>
    <w:rsid w:val="00146A28"/>
    <w:rsid w:val="00150588"/>
    <w:rsid w:val="001575BF"/>
    <w:rsid w:val="0016117A"/>
    <w:rsid w:val="00185B79"/>
    <w:rsid w:val="001A1DB4"/>
    <w:rsid w:val="001C6B28"/>
    <w:rsid w:val="0020574A"/>
    <w:rsid w:val="002924DC"/>
    <w:rsid w:val="002962B2"/>
    <w:rsid w:val="002A5563"/>
    <w:rsid w:val="002F5C01"/>
    <w:rsid w:val="00304FFB"/>
    <w:rsid w:val="00343CBB"/>
    <w:rsid w:val="003520C2"/>
    <w:rsid w:val="003674A9"/>
    <w:rsid w:val="00370941"/>
    <w:rsid w:val="00383CAB"/>
    <w:rsid w:val="003A1AC5"/>
    <w:rsid w:val="003C6610"/>
    <w:rsid w:val="003E43A4"/>
    <w:rsid w:val="00410BF2"/>
    <w:rsid w:val="0043393C"/>
    <w:rsid w:val="0044332E"/>
    <w:rsid w:val="0046368F"/>
    <w:rsid w:val="004B24CB"/>
    <w:rsid w:val="004D68DA"/>
    <w:rsid w:val="004E0EA7"/>
    <w:rsid w:val="0051055C"/>
    <w:rsid w:val="005132C5"/>
    <w:rsid w:val="00520CDD"/>
    <w:rsid w:val="00523684"/>
    <w:rsid w:val="005473DA"/>
    <w:rsid w:val="005B3908"/>
    <w:rsid w:val="005B488B"/>
    <w:rsid w:val="005B691C"/>
    <w:rsid w:val="005C7C5A"/>
    <w:rsid w:val="005E4EA3"/>
    <w:rsid w:val="005E73BE"/>
    <w:rsid w:val="005F2C5C"/>
    <w:rsid w:val="00601107"/>
    <w:rsid w:val="006463D6"/>
    <w:rsid w:val="00675ADC"/>
    <w:rsid w:val="006E00B6"/>
    <w:rsid w:val="00727631"/>
    <w:rsid w:val="00735DD0"/>
    <w:rsid w:val="00751D9C"/>
    <w:rsid w:val="007A10A4"/>
    <w:rsid w:val="007D7124"/>
    <w:rsid w:val="007E1AC5"/>
    <w:rsid w:val="00815B41"/>
    <w:rsid w:val="00824318"/>
    <w:rsid w:val="00842115"/>
    <w:rsid w:val="008551B0"/>
    <w:rsid w:val="0087094A"/>
    <w:rsid w:val="00890DAE"/>
    <w:rsid w:val="008C0CDC"/>
    <w:rsid w:val="00921A33"/>
    <w:rsid w:val="00965A37"/>
    <w:rsid w:val="00970D5D"/>
    <w:rsid w:val="009713B0"/>
    <w:rsid w:val="009B7833"/>
    <w:rsid w:val="009C00C5"/>
    <w:rsid w:val="009E127A"/>
    <w:rsid w:val="009E3D8B"/>
    <w:rsid w:val="00A24804"/>
    <w:rsid w:val="00A31617"/>
    <w:rsid w:val="00A32338"/>
    <w:rsid w:val="00A53B5D"/>
    <w:rsid w:val="00A9165A"/>
    <w:rsid w:val="00AA6DE4"/>
    <w:rsid w:val="00AA7AF0"/>
    <w:rsid w:val="00AB690F"/>
    <w:rsid w:val="00AD6382"/>
    <w:rsid w:val="00AE4565"/>
    <w:rsid w:val="00AE610D"/>
    <w:rsid w:val="00AF421E"/>
    <w:rsid w:val="00B213AF"/>
    <w:rsid w:val="00B56491"/>
    <w:rsid w:val="00B84A92"/>
    <w:rsid w:val="00B87C24"/>
    <w:rsid w:val="00B9250F"/>
    <w:rsid w:val="00B974AD"/>
    <w:rsid w:val="00BB3139"/>
    <w:rsid w:val="00BD1139"/>
    <w:rsid w:val="00BE3EAA"/>
    <w:rsid w:val="00CB68B9"/>
    <w:rsid w:val="00CE6CA7"/>
    <w:rsid w:val="00CF26DF"/>
    <w:rsid w:val="00D3061C"/>
    <w:rsid w:val="00D476FB"/>
    <w:rsid w:val="00D479B4"/>
    <w:rsid w:val="00D71B08"/>
    <w:rsid w:val="00D96155"/>
    <w:rsid w:val="00DD705C"/>
    <w:rsid w:val="00DE7234"/>
    <w:rsid w:val="00E0537F"/>
    <w:rsid w:val="00E10DA7"/>
    <w:rsid w:val="00E32371"/>
    <w:rsid w:val="00E477BD"/>
    <w:rsid w:val="00E83B06"/>
    <w:rsid w:val="00F2007E"/>
    <w:rsid w:val="00F26052"/>
    <w:rsid w:val="00F32836"/>
    <w:rsid w:val="00F576BD"/>
    <w:rsid w:val="00F70818"/>
    <w:rsid w:val="00F82A71"/>
    <w:rsid w:val="00FA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C3B2"/>
  <w15:chartTrackingRefBased/>
  <w15:docId w15:val="{5BA693E3-9E58-48D7-B6EC-510A82B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EF"/>
  </w:style>
  <w:style w:type="paragraph" w:styleId="Footer">
    <w:name w:val="footer"/>
    <w:basedOn w:val="Normal"/>
    <w:link w:val="FooterChar"/>
    <w:uiPriority w:val="99"/>
    <w:unhideWhenUsed/>
    <w:rsid w:val="0007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EF"/>
  </w:style>
  <w:style w:type="paragraph" w:styleId="FootnoteText">
    <w:name w:val="footnote text"/>
    <w:basedOn w:val="Normal"/>
    <w:link w:val="FootnoteTextChar"/>
    <w:uiPriority w:val="99"/>
    <w:semiHidden/>
    <w:unhideWhenUsed/>
    <w:rsid w:val="000746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6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4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0049B-9843-41F9-B108-64E5645C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183</cp:revision>
  <dcterms:created xsi:type="dcterms:W3CDTF">2021-05-10T06:33:00Z</dcterms:created>
  <dcterms:modified xsi:type="dcterms:W3CDTF">2021-05-10T10:53:00Z</dcterms:modified>
</cp:coreProperties>
</file>